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l'adsorption des metaux hg2+, cu2+, zn2+, fe3+, cr6+ sur charbon actif en grain modelisation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Universté Badji Mokhtar/ Bouchelta; Chafia/ Tifouti, L./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charbon actif/ iadsorption des métaux/ </w:t>
            </w:r>
          </w:p>
        </w:tc>
      </w:tr>
    </w:tbl>
    <w:p>
      <w:pPr>
        <w:pStyle w:val="Heading3"/>
      </w:pPr>
      <w:r>
        <w:t>Résumé :</w:t>
      </w:r>
    </w:p>
    <w:p>
      <w:r>
        <w:t>Dans ce travail, nous avons étudié l’adsorption des métaux : Hg2+, Cr6+, Cu2+, Zn2+ et Fe3+ sur du charbon actif en grain (CAG) en mode statique et en mode  dynamique. En mode statique, les résultats de l’adsorption donnent des isothermes d’adsorption de types I. Les capacités d’adsorption augmentent avec l’augmentation de</w:t>
        <w:br/>
        <w:br/>
        <w:t>la température pour le Hg2+, Cr6+et Zn2+mais diminuent pour le Fe3+et le Cu2+. Ces</w:t>
        <w:br/>
        <w:br/>
        <w:t>résultats ont été exploités à l’aide des modèles de Langmuir, Freundlich et Temkin.</w:t>
        <w:br/>
        <w:br/>
        <w:t>L’effet des paramètres température, pH, force ionique et vitesse d’agitation sur</w:t>
        <w:br/>
        <w:br/>
        <w:t>l’adsorption des métaux précédents sur CAG a été étudié. Il en ressort que l’agitation</w:t>
        <w:br/>
        <w:br/>
        <w:t>n’influence pas beaucoup l’adsorption, en revanche le pH peut introduire un</w:t>
        <w:br/>
        <w:br/>
        <w:t>phénomène de précipitation des métaux qui concurrencerait le phénomène</w:t>
        <w:br/>
        <w:br/>
        <w:t>d’adsorption. La force ionique a un effet négatif sur l’adsorption des métaux étudiés</w:t>
        <w:br/>
        <w:br/>
        <w:t>sur charbon actif en grain à l’exception du Zn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