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Numerical  and experimental study of mechanical behavior of coled-formed steel compressed columns filled and unfilled with concrete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Harrat; Oulfa/ Hadidane, Yazid/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built-up sections/ instability mods/ confinement/ </w:t>
            </w:r>
          </w:p>
        </w:tc>
      </w:tr>
    </w:tbl>
    <w:p>
      <w:pPr>
        <w:pStyle w:val="Heading3"/>
      </w:pPr>
      <w:r>
        <w:t>Résumé :</w:t>
      </w:r>
    </w:p>
    <w:p>
      <w:r>
        <w:t>built-up cold-formed steel sections CFS have been increasingly developed and utilized in recent years, especialy in the construction industry ,due to thier numerous functional and architectural advantages such as improved load-bearing capacity and icreased resistance toelastic instability modes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