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Composition et strructure des assemblages ichtyologiques dans un mililieu à vocation aquacole la lagune du mellah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Merah; Abderrezak/ Université Badji Mokhtar/ Chaoui,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mellah/ Logune/ </w:t>
            </w:r>
          </w:p>
        </w:tc>
      </w:tr>
    </w:tbl>
    <w:p>
      <w:pPr>
        <w:pStyle w:val="Heading3"/>
      </w:pPr>
      <w:r>
        <w:t>Résumé :</w:t>
      </w:r>
    </w:p>
    <w:p>
      <w:r>
        <w:t>Ce travail dresse l’état de la diversité ichtyologique de la lagune du Mellah, sa composition</w:t>
        <w:br/>
        <w:br/>
        <w:t>numérique et pondérale et ses variations spatiales. Dix stations ont été choisies en fonction</w:t>
        <w:br/>
        <w:br/>
        <w:t>des influences marine ou continentales et pêchées mensuellement, de mai 2009 à juin 2010.</w:t>
        <w:br/>
        <w:br/>
        <w:t>Le filet utilisé est une senne de plage (L = 10 m; H = 1,5 m; maille = 4 mm), trainée sur une</w:t>
        <w:br/>
        <w:br/>
        <w:t>trentaine de mètres perpendiculairement à la berge. Les caractéristiques physico-chimiques</w:t>
        <w:br/>
        <w:br/>
        <w:t>(température, salinité, oxygène dissous) de chaque station sont mesurées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