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Stratégies adaptatives des mésanges bleues cyanistes caeruleus ultramarinus ultramarinus (L. 1758) dans les chênaies du Nord-Est algérien :effet de la richesse du milieu sur les traits d’histoire de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Ziane Rouag, Nadia/ Boulakoud, M.S/ Université Badji Mokhtar/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mésange bleue/ alimentation/ reproduction/ </w:t>
            </w:r>
          </w:p>
        </w:tc>
      </w:tr>
    </w:tbl>
    <w:p>
      <w:pPr>
        <w:pStyle w:val="Heading3"/>
      </w:pPr>
      <w:r>
        <w:t>Résumé :</w:t>
      </w:r>
    </w:p>
    <w:p>
      <w:r>
        <w:t xml:space="preserve">La comparaison de la phénologie de reproduction de la Mésange bleue entre un habitat  sempervirent situé à basse altitude et un autre caducifolié situé à haute altitude a révélé que la masse des oisillons ainsi que le nombre de leurs globules rouges sont plus élevés dans le second habitat. Le succès de la reproduction est également plus élevé dans l’habitat caducifolié. Ces résultats ont été mis en relation avec la quantité de nourriture plus importante dans le chêne zeen.  </w:t>
        <w:br/>
        <w:br/>
        <w:t>Les résultats obtenus sur la quantification de la biomasse des chenilles montrent que le pic d’abondance est tardif et plus important dans la zénaie est le milieu le plus riche. Les fréquences de  nourrissage, sont aussi plus élevées. Le régime  limentaire est constitué essentiellement de chenilles de Lépidoptères dont les proportions sont plus élevées dans la zénaie. La manipulation  expérimentale des nichées montrent que dans le chêne zeen, l’agrandissement des nichées n’affecte</w:t>
        <w:br/>
        <w:br/>
        <w:t xml:space="preserve">pas la masse des oisillons ainsi que leur régime. Dans le chêne liège, la réduction expérimentale des nichées a révélé que les poussins issus des nichées réduites ont un poids et un taux de globule rougeplus important que ceux issus des nichées témoins.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