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changement climatique et de l’occupation du sol sur la réponse des bassins versants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Djellit; Leila/ Laouacheria, Fares/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hydrological modeling/ land use/ land cove/ </w:t>
            </w:r>
          </w:p>
        </w:tc>
      </w:tr>
    </w:tbl>
    <w:p>
      <w:pPr>
        <w:pStyle w:val="Heading3"/>
      </w:pPr>
      <w:r>
        <w:t>Résumé :</w:t>
      </w:r>
    </w:p>
    <w:p>
      <w:r>
        <w:t>He focus of this study is to examine and evaluate the individual and combined impacts of LULC changes and the impacts of climate change on the peak discharge and runoff volume in a Kebir river catchment using different techniques and approaches. The LULC analysis from 1985 to 2020 using classified Landsat 5 and Landsat 7 ETM+ satellite images and Cellular Automata Artificial Neural Network (CA-ANN) were used to generate the predict change of LULC map of 2040. In overall, LULC change has expanded into urban and agricultural areas at the expense of forests and bare lands.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