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physico chimique et valeur patrimoniale du Marais du Mellah pour les oiseaux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Henada; Rania Lina Ikram/ Boukhroufa; Mehdi/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oiseaux d'eau/ marais du mellah / bio évaluation / </w:t>
            </w:r>
          </w:p>
        </w:tc>
      </w:tr>
    </w:tbl>
    <w:p>
      <w:pPr>
        <w:pStyle w:val="Heading3"/>
      </w:pPr>
      <w:r>
        <w:t>Résumé :</w:t>
      </w:r>
    </w:p>
    <w:p>
      <w:r>
        <w:t>Notre problématique s’inscrit dans le cadre des missions d'évaluation environnementale des écosystèmes humides d’exception, en vue de garantir leur durabilité et leur grande valeur patrimoniale. L’étude qui en découle a été réalisée</w:t>
        <w:br/>
        <w:br/>
        <w:t>durant deux années successives (2020 – 2022) au niveau du marais du Mellah, qui constitue le seul Eco complexe marais – lagune – mer méditerranée en Algérie, et dont les études antérieures lui confèrent une importante valeur patrimoniale spécialement pour les oiseaux d’eau. Nous avons déployé trois types d’approches : une approche biologique à travers le bio-monitoring du peuplement des oiseaux d’eau, une approche cartographique basée sur des images satellitaires et la prospection de terrain, et une approche physico-chimique des matrices eaux et sol.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