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et optimisation de nouveaux procédés d’élimination des polluants organiques et inorganiques des milieux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Rayane/ Bendjeffal, Hacene/ Université Badji Mokhtar/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adsorption/ chrome hexavalent/ conception expérimentale/ </w:t>
            </w:r>
          </w:p>
        </w:tc>
      </w:tr>
    </w:tbl>
    <w:p>
      <w:pPr>
        <w:pStyle w:val="Heading3"/>
      </w:pPr>
      <w:r>
        <w:t>Résumé :</w:t>
      </w:r>
    </w:p>
    <w:p>
      <w:r>
        <w:t>Cette recherche doctorale se concentre sur la tâche cruciale d'éliminer les micropolluants organiques et inorganiques</w:t>
        <w:br/>
        <w:br/>
        <w:t xml:space="preserve">toxiques des environnements aquatiques. Plus précisément, l'étude examine l'élimination du violet de méthyle B10(MV10B) et du chrome hexavalent par des processus d'adsorption mettant en œuvre une approche hétérogène impliquant un omposite de luffa a-FeOOH@Luffa et de l’écorce de grenade en poudre. Le a-FeOOH@Luffa a été synthétisé par la méthode hydrothermale, et à la fois le a-FeOOH@Luffa et l’ecorce de grenade ont été caractérisés en profondeur à l'aide de diverses techniques analytiques, notamment FTIR, DRX, BET et MEB.L'optimisation des paramètres régissant le processus d'élimination du MV10B et du chrome hexavalent a été réalisé à l'aide de la conception factorielle fractionnaire et des méthodologies de conception Box-Behnken. Ces techniques d'optimisation visaient à rationaliser les processus périmentaux, réduisant à la fois le temps et le nombre d'essais nécessaires.Les résultats ont démontré des taux d'élimination très efficaces pour les deux polluants, avec une adsorption du MV10B par le a-FeOOH@Luffa et une élimination du chrome hexavalent par l’écorce de grenade en poudre atteignant des efficacités d'élimination allant jusqu'à 93,56 % et 94,79 %, respectivement. De plus, l'étude a examiné l'influence des composés organiques et inorganiques présents dans des  chantillons réels, y compris l'eau de mer, sur l'élimination à la fois du colorant cationique et du métal lourd. Les biosorbants utilisés dans les deux cas ont présenté des capacités d'élimination significatives, même après plusieurs cycles de utilisation du matériau.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