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paramètres géotechniques sur la stabilité des ouvrages moniers souterrains - cas metro d'Alger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Morsli; M. Abdelraouf/ Berdoudi, Said/ Université Badji Mokhtar/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modélisation numérique/ Ouvrages souterrains/ Paramètres géotechniques/ </w:t>
            </w:r>
          </w:p>
        </w:tc>
      </w:tr>
    </w:tbl>
    <w:p>
      <w:pPr>
        <w:pStyle w:val="Heading3"/>
      </w:pPr>
      <w:r>
        <w:t>Résumé :</w:t>
      </w:r>
    </w:p>
    <w:p>
      <w:r>
        <w:t>Le processus de creusement de tunnels en milieu urbain constitue un domaine d'étude complexe, avec des implications majeures pour la stabilité des infrastructures souterraines. Cette recherche se concentre sur l'analyse de l'impact des paramètres géotechniques sur la stabilité des tunnels, en se basant sur une étude de cas du tunnel D17 du métro d'Alger.</w:t>
        <w:br/>
        <w:br/>
        <w:t>L'objectif principal de cette recherche est d'explorer les interactions entre les caractéristiques géotechniques du sol et le comportement structural des tunnels. Pour mener à bien cette étude,une méthodologie précise et méthodique est appliquée, impliquant une modélisation numérique avancée réalisée à l'aide du logiciel spécialisé Géo 5. L'accent est mis sur la compréhension des mécanismes complexes à l'oeuvre lors du processus de creusement et de l'interaction entre les conditions géotechniques et les choix de conception.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