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Activités biologiques et génotoxicité de trois amidophosphonates de synthèse chez des organismes unicellulaires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Saib; Amina/ Djebar, Mohamed Reda/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activité antifongique/ stress oxydant/ paramecium tetraurelia/ </w:t>
            </w:r>
          </w:p>
        </w:tc>
      </w:tr>
    </w:tbl>
    <w:p>
      <w:pPr>
        <w:pStyle w:val="Heading3"/>
      </w:pPr>
      <w:r>
        <w:t>Résumé :</w:t>
      </w:r>
    </w:p>
    <w:p>
      <w:r>
        <w:t xml:space="preserve">La classe des amidophosphonates fait partie des organophosphorés ayant une multitude d’activités biologiques, néanmoins elle peut se révéler toxique pour l’Homme et son environnement. Ainsi, synthèse de nouvelles molécules et l’étude de toxicité se sont livrés à une course effrénée et des tests de toxicité s’avèrent très utiles.Dans notre travail de recherche, nous avons décrit la synthèse de trois amidophosphonates (AP1, AP2, AP3) effectuée selon la méthode d’Arbuzov (1906). L’étude de la toxicité de ces trois molécules a été effectuée à travers le suivi des paramètres physiologiques, la polarographie et les biomarqueurs du stress oxydant chez des modèles alternatifs, des micro-organismes ciliés d’eau douce : Paramecium tetraurelia.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