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des propriétés structurales et magnétiques de l’alliage nanostructuré binaire Fe-Sb synthétisé par mécanosynthèse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Guemmoud; Nassima/ Hafs, Ali                          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microscopie électronique à balayage/ mécanosynthèse/ alliage Fe-Sb / </w:t>
            </w:r>
          </w:p>
        </w:tc>
      </w:tr>
    </w:tbl>
    <w:p>
      <w:pPr>
        <w:pStyle w:val="Heading3"/>
      </w:pPr>
      <w:r>
        <w:t>Résumé :</w:t>
      </w:r>
    </w:p>
    <w:p>
      <w:r>
        <w:t>Cette étude est consacrée à l'effet du temps de broyage sur l'évolution de phase, la microstructure et les propriétés magnétiques de l'alliage nanostructuré Fe90Sb10 (wt. %) produit par broyage mécanique. Le processus de synthèse a été réalisé en utilisant un broyage à billes à haute énergie, avec des durées de broyage variant de 0 à 36 heures. Les résultats de l'analyse par diffraction des rayons X ont mis en évidence la formation de la phase de solution solideà-Fe (Sb) après 12 heures de broyage. Cette phase a été caractérisée par une augmentation progressive du paramètre de réseau, atteignant environ 0,2870 nm après 36 heures de broyage. De plus, une réduction significative de la taille des grains a été observée, atteignant environ 18,16 nm, accompagnée de microdéformations estimées à environ 0,19 %.</w:t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