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correlations masse charges et énergie cinétique des fragments produits dans la fission spontanée du 248 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Benoufella; Arezki / Université Des sciences et de la Technologie houari Boumediene/ Asghar, Muhammed/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fission nucléaire/ ionisation / </w:t>
            </w:r>
          </w:p>
        </w:tc>
      </w:tr>
    </w:tbl>
    <w:p>
      <w:pPr>
        <w:pStyle w:val="Heading3"/>
      </w:pPr>
      <w:r>
        <w:t>Résumé :</w:t>
      </w:r>
    </w:p>
    <w:p>
      <w:r>
        <w:t>Nous avons au cours de ce travail étudié la fission spontanée du 248 CN (s, f) , ce travali à été réalisé grace à une collaboration entre L'U-S-T-H-B., et le centre d'études nucléaires de bordeaux gradignan (france) , l'utisation d'une double chambre d'ionisation à grilles de frisch nous a permis d'étudier les corrélations masse énergie cinétique des fragments produits dans la fission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