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mathématique du prolongement des champs harmoniques , etude d'un CAS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Benaissa; Abdelkader/ Rychlicki, S./ Université des Sciences et de la Technologie Houari Boumediene /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champs harmonique/ </w:t>
            </w:r>
          </w:p>
        </w:tc>
      </w:tr>
    </w:tbl>
    <w:p>
      <w:pPr>
        <w:pStyle w:val="Heading3"/>
      </w:pPr>
      <w:r>
        <w:t>Résumé :</w:t>
      </w:r>
    </w:p>
    <w:p>
      <w:r>
        <w:t>L'interprétation du comportement de l'opérateur de prolongement permet de souligner que plus la hauteur de prolongement augmente et plus la condition d'idéalité ne sera pas respectée par la méme l'on doit s'attendre à à des erreurs.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