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Propriétés de fluorescence des ions terres rares incorporés dans une matrice cristalline calcul de la section efficace d'émission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Bouhadjar; Fadila/ Diaf, Madjid/ Université Badji Mokhtar Annaba/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terre rare/ matrice cristalline/ flurescence/ </w:t>
            </w:r>
          </w:p>
        </w:tc>
      </w:tr>
    </w:tbl>
    <w:p>
      <w:pPr>
        <w:pStyle w:val="Heading3"/>
      </w:pPr>
      <w:r>
        <w:t>Résumé :</w:t>
      </w:r>
    </w:p>
    <w:p>
      <w:r>
        <w:t>lLe travail de recherchje que nous présentons dans ce mémoire porte sur l'étude des propriétés de fluorescence des ions de terres rares incorporés dans une matrice cristalline on se propose de calculer la section efficace d'émission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