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supraconducteurs à haute température critique (shtC) au moyen du modéle statistique de ginzburg- Landau application MgB2 , MgC x Ni 3, Srx CuO4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Djamal/ Zemmour, Kamel/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 critique/ supraconducteur/ statistique ginzburg landau 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des supraconducteurs à haute température critique avec une faible ou forte</w:t>
        <w:br/>
        <w:br/>
        <w:t>densité superfluide peuvent être décrites en termes de fluctuations de la phase et de</w:t>
        <w:br/>
        <w:br/>
        <w:t>l’amplitude. Le champ supraconducteur i (x, y) a été simulé via l’amplitude |i | et la phase i</w:t>
        <w:br/>
        <w:br/>
        <w:t>en utilisant l’action de Ginzburg-Landau (GL) SGL.</w:t>
        <w:br/>
        <w:br/>
        <w:t>Le comportement des supraconducteurs conventionnels est bien décrit par la théorie BCS</w:t>
        <w:br/>
        <w:br/>
        <w:t>laquelle procède d’une approche variationnelle en champ moyen appliquée aux électrons</w:t>
        <w:br/>
        <w:br/>
        <w:t>formant les paires de Cooper et produisant un gap dans le spectre des énergies des électrons</w:t>
        <w:br/>
        <w:br/>
        <w:t>(célibataires). Les supraconducteurs à haute température critique tels que les cuprates</w:t>
        <w:br/>
        <w:br/>
        <w:t>présentent beaucoup de phénomènes ne pouvant être expliqués dans le cadre de la théorie</w:t>
        <w:br/>
        <w:br/>
        <w:t xml:space="preserve">BCS.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