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Synthése et étude structurale d'un nouveau derive perfluoracarboxylique du cobalt et son utilisation en catalyse de polymerisation stereospecifique du butadiene 1-3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Otton; Jean/ Université de Paris VI/ Champetier,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Paris VI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polymérisation/ trifluoracétato chlorocobalt/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a permis d'étudier une nouvelle espéce monométallique capable d'amorcer la polymérisation stéréospécifique du butadiéne en polybutadiéne cis 1-4 ce complexe , l'éthérate du trifluoracétato chlorocobalt fait partie d'une famille de composés qui présentent la particularité de posséder deux anions différents sur le méme métal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