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 et étude structurale d'un nouveau derive perfluoracarboxylique du cobalt et son utilisation en catalyse de polymerisation stereospecifique du butadiene 1-3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Otton; Jean/ Université de Paris VI/ Champetier,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VI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polymérisation/ trifluoracétato chlorocobalt/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permis d'étudier une nouvelle espéce monométallique capable d'amorcer la polymérisation stéréospécifique du butadiéne en polybutadiéne cis 1-4 ce complexe , l'éthérate du trifluoracétato chlorocobalt fait partie d'une famille de composés qui présentent la particularité de posséder deux anions différents sur le méme métal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