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Description et application d'une méthode indépendante des propriétés locales pour le calcul des indices de retention en chromatographie en phase gazeuse a température programmée.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Lourici; Leila/ Messadi, D./ Université Badji Mokhtar/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chromatographie en phase gazeuse/ Programmation de température/ Indices de rétention/ </w:t>
            </w:r>
          </w:p>
        </w:tc>
      </w:tr>
    </w:tbl>
    <w:p>
      <w:pPr>
        <w:pStyle w:val="Heading3"/>
      </w:pPr>
      <w:r>
        <w:t>Résumé :</w:t>
      </w:r>
    </w:p>
    <w:p>
      <w:r>
        <w:t>Les fonctions interpolantes utilisées jusqu'à présent pour le calcul des indices de rétention en chromatographie en phase gazeuse à température programmée dépendent des noeuds d'interpolation, rendant impossible la prévision de la variation de ces grandeurs de rétention quand on change le jeu de standards.   les courbes de bézier et les b-splines de différents ordres possèdent la propriété de contrôle local, c'est-à-dire que la fonne des graphes de ces fonctions n'est modifiée qu'au voisinage du point que l'on déplace.en utilisant cette propriété essentielle une nouvelle méthode de calcul des indices de rétention en programmation de température est proposée. elle pallie l'inconvénient des autres méthodes de calcul, et lève la contrainte de l'utilisation d'une série complète d'homolgues.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