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des forces repulsives dans les reactions de transferts et les reactions PICK-UP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Benlalli; Abdelkrim/ Université Badji Mokhtar Annaba/ Zaky,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facteur spectroscopique / </w:t>
            </w:r>
          </w:p>
        </w:tc>
      </w:tr>
    </w:tbl>
    <w:p>
      <w:pPr>
        <w:pStyle w:val="Heading3"/>
      </w:pPr>
      <w:r>
        <w:t>Résumé :</w:t>
      </w:r>
    </w:p>
    <w:p>
      <w:r>
        <w:t>D'aprés les figures spécifiques aux caractéristiques RATIO = f (r) on constate que le fait d'introduire le noyzurépulssif dans les réactions de transfert , fait diminuer le facteur de forme en moyenne de 0.75 par rapport au facteur de forme habituel.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