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Fluage d'un superralliage riche en COBALT  effe du traitement thermique microstructure induite par fluage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Merabtine; Rachid/ Université Badji Mokhtar Annaba/ Retima,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microstructure/ fluage/ </w:t>
            </w:r>
          </w:p>
        </w:tc>
      </w:tr>
    </w:tbl>
    <w:p>
      <w:pPr>
        <w:pStyle w:val="Heading3"/>
      </w:pPr>
      <w:r>
        <w:t>Résumé :</w:t>
      </w:r>
    </w:p>
    <w:p>
      <w:r>
        <w:t>La composition chimique de notre superallige industriel polycristallin a été déterminés à l'aide du systémé d'analyse ( EDX) du MEB on a pu en fonction de ces résultats le classer dans la famille des udimet superalliages industriels riches de compositions chimiques proches de celle du notre.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