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Approches synthétiques biocatalysées pour l'élaboration de molécules d'intérêt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Bayoud; Ikram/ Université Badji Mokhtar/ Bouzemi, Nassima/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verte/  biocatalyse/ </w:t>
            </w:r>
          </w:p>
        </w:tc>
      </w:tr>
    </w:tbl>
    <w:p>
      <w:pPr>
        <w:pStyle w:val="Heading3"/>
      </w:pPr>
      <w:r>
        <w:t>Résumé :</w:t>
      </w:r>
    </w:p>
    <w:p>
      <w:r>
        <w:t>La biocatalyse est devenue un outil puissant au sein de l’industrie chimique afin de parvenir à</w:t>
        <w:br/>
        <w:br/>
        <w:t>des produits de grande valeur ajoutée. Elle est dotée d’un énorme intérêt sur le plan pratique,</w:t>
        <w:br/>
        <w:br/>
        <w:t>telle qu’une sélectivité plus élevée, des composés nettement purs, une consommation d’énergie</w:t>
        <w:br/>
        <w:br/>
        <w:t>réduite et une économie d’atomes lors des réactions de dérivatisation. Les médicaments, les</w:t>
        <w:br/>
        <w:br/>
        <w:t>parfums, les additifs alimentaires et les arômes naturels sont synthétisés en appliquant les</w:t>
        <w:br/>
        <w:br/>
        <w:t>principes de la chimie verte dans divers processus.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