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Synthése de polydioxolanne -1,3 fonctionnalise application à la préparation de copolymeres greffes amphipathiques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Kada; Seghir / Université d'Oran/ Belbachir,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macromonomere/ copolymere greffe/ </w:t>
            </w:r>
          </w:p>
        </w:tc>
      </w:tr>
    </w:tbl>
    <w:p>
      <w:pPr>
        <w:pStyle w:val="Heading3"/>
      </w:pPr>
      <w:r>
        <w:t>Résumé :</w:t>
      </w:r>
    </w:p>
    <w:p>
      <w:r>
        <w:t>Nous avons vu précédement que la méthode de préparation en une étape de PDXL fonctionnalisé c'est -à - dire porteur d'une insaturation conduisait à des espéces possédent également des hydroxyles en bout de chaine ., par contre dans la préparation en deux étapes ces groupements hydroxyle sont remplacés par des groupements méthyl1 ou éthyl 1 éther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