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hypersusceptibilités au moyen des méthodes scf-ii semi-Empiriques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Outafout; Akli/ Université Houari Boumédienne/ Gayoso,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hypersusceptibilités/ </w:t>
            </w:r>
          </w:p>
        </w:tc>
      </w:tr>
    </w:tbl>
    <w:p>
      <w:pPr>
        <w:pStyle w:val="Heading3"/>
      </w:pPr>
      <w:r>
        <w:t>Résumé :</w:t>
      </w:r>
    </w:p>
    <w:p>
      <w:r>
        <w:t>Etude Calcul des hypersusceptibilités au moyen des méthodes scf-ii semi-Empiriques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