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Calcul du spectre d'énergie des muons atmosphériques à différentes altitudes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Djemil; Taoufik / Attallah, Réda/ Université Badji Mokhtar Annaba/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nuons atmosphérique/ spectre énergie/ </w:t>
            </w:r>
          </w:p>
        </w:tc>
      </w:tr>
    </w:tbl>
    <w:p>
      <w:pPr>
        <w:pStyle w:val="Heading3"/>
      </w:pPr>
      <w:r>
        <w:t>Résumé :</w:t>
      </w:r>
    </w:p>
    <w:p>
      <w:r>
        <w:t>la précision dans la prédiction du flux des neutrinos atmosphériques et de leurs paramétres d'oscillation est conditionnée par la précision du calcul du flux des nuons atmospherique ., elle est directement liée au modéle d'interaction hadronique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