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 de la vitesse de recombinaison au niveau d’un agrégat métallique plongé dans un semi-conducteur sur le contraste.modèles classique et quantique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Debez; Mounia/ Mekki, Djamel Eddine/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 xml:space="preserve">fig., tab.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EBIC/ défaut sphérique/ calcul self consistant/ théorie SRH. / </w:t>
            </w:r>
          </w:p>
        </w:tc>
      </w:tr>
    </w:tbl>
    <w:p>
      <w:pPr>
        <w:pStyle w:val="Heading3"/>
      </w:pPr>
      <w:r>
        <w:t>Résumé :</w:t>
      </w:r>
    </w:p>
    <w:p>
      <w:r>
        <w:t>Un modèle de contraste EBIC, en présence d’un précipité sphérique dans un</w:t>
        <w:br/>
        <w:br/>
        <w:t>semiconducteur de type p est élaboré.</w:t>
        <w:br/>
        <w:br/>
        <w:t xml:space="preserve"> Dans une première étape, un calcul self- consistant de la hauteur de barrière et de la</w:t>
        <w:br/>
        <w:br/>
        <w:t>vitesse de recombinaison à l’interface d’un précipité métallique et d’une matrice semiconductrice est présenté et ce, dans le cadre de la théorie Hall Shockley Read (S.R.H).</w:t>
        <w:br/>
        <w:br/>
        <w:t>La procédure adoptée tient compte des seules variations du quasi niveau de Fermi associé aux</w:t>
        <w:br/>
        <w:br/>
        <w:t>porteurs de charge minoritaires dans les zones de charge d’espace et quasiment neutre ; de</w:t>
        <w:br/>
        <w:br/>
        <w:t>plus, un déplacement rigide des bandes est assumé.</w:t>
        <w:br/>
        <w:br/>
        <w:t>Par ailleurs, une distribution mono énergétique des états d’interfaces est considérée et ce,</w:t>
        <w:br/>
        <w:br/>
        <w:t>dans deux cas limites qui sont le modèle du niveau à demi plein (H.F.L.M) et celui qui suppose que le défaut sphérique est neutre à l’état initial (X.F.L.M).Le processus de recombinaison est étudié en fonction de la concentration des défauts, de la taille du précipité et de la température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