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Prévision des réactions dans les milieux acide phosphorique concentrés neutralisés ou non par la soud - Diagrammes E-R 0 (H)  - Solvatation des 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Tahani; Nacera/ Universite Badji-Mokhtar/ Chartier, P./ </w:t>
            </w:r>
          </w:p>
        </w:tc>
      </w:tr>
      <w:tr>
        <w:trPr>
          <w:trHeight w:val="567"/>
        </w:trPr>
        <w:tc>
          <w:tcPr>
            <w:tcW w:type="dxa" w:w="3000"/>
          </w:tcPr>
          <w:p>
            <w:r>
              <w:t>Nombre de Pages</w:t>
            </w:r>
          </w:p>
        </w:tc>
        <w:tc>
          <w:tcPr>
            <w:tcW w:type="dxa" w:w="7000"/>
          </w:tcPr>
          <w:p>
            <w:r>
              <w:t>170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Bioliogr.Résemé en francais</w:t>
            </w:r>
          </w:p>
        </w:tc>
      </w:tr>
      <w:tr>
        <w:trPr>
          <w:trHeight w:val="567"/>
        </w:trPr>
        <w:tc>
          <w:tcPr>
            <w:tcW w:type="dxa" w:w="3000"/>
          </w:tcPr>
          <w:p>
            <w:r>
              <w:t>Diplôme</w:t>
            </w:r>
          </w:p>
        </w:tc>
        <w:tc>
          <w:tcPr>
            <w:tcW w:type="dxa" w:w="7000"/>
          </w:tcPr>
          <w:p>
            <w:r>
              <w:t>Docteur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1991</w:t>
            </w:r>
          </w:p>
        </w:tc>
      </w:tr>
      <w:tr>
        <w:trPr>
          <w:trHeight w:val="567"/>
        </w:trPr>
        <w:tc>
          <w:tcPr>
            <w:tcW w:type="dxa" w:w="3000"/>
          </w:tcPr>
          <w:p>
            <w:r>
              <w:t>Sujet(s)</w:t>
            </w:r>
          </w:p>
        </w:tc>
        <w:tc>
          <w:tcPr>
            <w:tcW w:type="dxa" w:w="7000"/>
          </w:tcPr>
          <w:p>
            <w:r>
              <w:t xml:space="preserve">phosphate/ valorisation/ acide phosphorique	phosphate/ H3PO4-solutions acide phosphorique/ H3PO4/  solutions concentrées/ électrochimique/ solvatation/ </w:t>
            </w:r>
          </w:p>
        </w:tc>
      </w:tr>
    </w:tbl>
    <w:p>
      <w:pPr>
        <w:pStyle w:val="Heading3"/>
      </w:pPr>
      <w:r>
        <w:t>Résumé :</w:t>
      </w:r>
    </w:p>
    <w:p>
      <w:r>
        <w:t>Le diagramme potentiel-niveau d'acidité relatif aux solutions d'acide phosphorique partiellement neutralisées par la soude a été établi par voie électrochimique. Les fonctions RO(H), RO( H 2PO4 ) , RO(HPO42-) et RO(PO43-)ont été précisées de même que les domaines d'électroactivité à différentes électrodes (Pt, Hg, C etc...).</w:t>
        <w:br/>
        <w:br/>
        <w:t xml:space="preserve">   De nombreux systèmes rédox engageant des espèces présentant un intérêt économique comme l'argent, le cuivre, le plomb sont également considérés par leur diagrammes E-pH. Les valeurs de potentiel sont exploitées en vue de la détermination des coefficients de transfert de solvatation des ions correspondants qui mesure la différence de réactivité qu'ils présentent entre ces milieux concentrés</w:t>
        <w:br/>
        <w:br/>
        <w:t>et l'eau.</w:t>
        <w:br/>
        <w:br/>
        <w:t xml:space="preserve">   Ces valeurs sont ensuites exploitées pour prévoir l'évolution des constantes thermodynamiques avec le taux de neutralisation. Un exemple d'application concernant la récupération du cadmium par le diethyldithiophosphate en pésence de Fer (III) est décrit.</w:t>
        <w:br/>
        <w:br/>
        <w:t xml:space="preserve">   </w:t>
        <w:br/>
        <w:br/>
        <w:t>L'étude de mélanges des solutions concentrées en acide (faibles ou fort) nous a conduit à conclure qu'il est possible de déduire leur activité en eau et leur fonction d'acidité RO(H) à partir de la simple mesure de potentiel normal du ferrocène El/2 Fc+IFc IECS dans ces</w:t>
        <w:br/>
        <w:br/>
        <w:t>solutions, l'électrode au calomel dans l'eau étant utilisée comme électrode de référence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