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phénoménologique du transfert de matière entre du pvc plastifié et des huiles comestibles : modélisation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Toubal; Abdelaziz/ Gheid, Abdelhak/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phénoménologique/ modelisation mathematique/ </w:t>
            </w:r>
          </w:p>
        </w:tc>
      </w:tr>
    </w:tbl>
    <w:p>
      <w:pPr>
        <w:pStyle w:val="Heading3"/>
      </w:pPr>
      <w:r>
        <w:t>Résumé :</w:t>
      </w:r>
    </w:p>
    <w:p>
      <w:r>
        <w:t>Depuis  le début du 20 siécle, de nombreuses matiéres plastiques ont été préparées et développées, et les quantités consommées deviennent trés grandes.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