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Synthése et mise en forme des composés supraconducteurs céramiques et de type A15 (HTCS, LTCS)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Hafs; Ali                          / Bendjemil, Badis/ Université Badji Mokhtar Annaba/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81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Bibliogr. Résumé en français, anglais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supraconducteurs/ microstructurale/ type A15/ fusion nucléaire/ </w:t>
            </w:r>
          </w:p>
        </w:tc>
      </w:tr>
    </w:tbl>
    <w:p>
      <w:pPr>
        <w:pStyle w:val="Heading3"/>
      </w:pPr>
      <w:r>
        <w:t>Résumé :</w:t>
      </w:r>
    </w:p>
    <w:p>
      <w:r>
        <w:t>Dans ce travail de mémoire nous avons tenté de déterminer la relation entre les procédés d'élaboration des composés intermétalliques supraconducteurs de type A15 (Nb3Sn) fermion lourd ( NbTi) et base de céramique ( BSCCO) par la suite les mettre sous forme de fil et de ruban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