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propriétés structurales et magnétiques des poudres Fe100xNix  nanostructurées obtenues par mécanosynthése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Chebli; Abdelhak/ Bouzabata, B./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nanostructurés/ propriétés structurales/ alliage FeNi/ diffractions des rayons X/ </w:t>
            </w:r>
          </w:p>
        </w:tc>
      </w:tr>
    </w:tbl>
    <w:p>
      <w:pPr>
        <w:pStyle w:val="Heading3"/>
      </w:pPr>
      <w:r>
        <w:t>Résumé :</w:t>
      </w:r>
    </w:p>
    <w:p>
      <w:r>
        <w:t>les nanomatériaux présentent une nouvelle classe de matériaux , ils sont classés suivant leurs dimensionnalité , ont deux caractéristiques fondamentales communes , les domaines atomiques , constituants (grains, couches) sont confinés sur moins de 100 nm et une fraction importante d'atomes associée aux joints de grains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