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microstructurale des alliages aluminium-Fer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Fekrache; Abdelhak/ Université Badji Mokhtar Annaba/ Bouzabata 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alliage aluminium/ alliage A1-Fe/ </w:t>
            </w:r>
          </w:p>
        </w:tc>
      </w:tr>
    </w:tbl>
    <w:p>
      <w:pPr>
        <w:pStyle w:val="Heading3"/>
      </w:pPr>
      <w:r>
        <w:t>Résumé :</w:t>
      </w:r>
    </w:p>
    <w:p>
      <w:r>
        <w:t>cette etude a permis de caractériser plusieurs alliages A1 -Fe de différentes compositions en fer élaborés par fusion haute fréquence .différentes phases déja prévues par le diagramme d'équilibre.Le degré d’ordre à grande distance et le facteur de température ont également</w:t>
        <w:br/>
        <w:br/>
        <w:t>été déterminés.</w:t>
        <w:br/>
        <w:br/>
        <w:t>Les mesures de microdureté Vickers montrent un maximum prononcé vers 50%</w:t>
        <w:br/>
        <w:br/>
        <w:t>poids Al, ce qui est en faveur d’un effet de durcissement combiné mettant en jeu le</w:t>
        <w:br/>
        <w:br/>
        <w:t>durcissement de solution solide et le durcissement par précipitation.</w:t>
        <w:br/>
        <w:br/>
        <w:t>L’analyse par diffraction des rayons x des quatre échantillons Al-74wt</w:t>
        <w:br/>
        <w:br/>
        <w:t>%Fe Al-60wt%Fe brut et Al-74wt%Fe, Al-60wt%Fe traités indique qu’il y a une</w:t>
        <w:br/>
        <w:br/>
        <w:t>phase ordonnée. Nous avons pu observer des raies de diffraction correspondant à la</w:t>
        <w:br/>
        <w:br/>
        <w:t>structure ordonnée B2 (C.C, aB2=0.289nm) en plus d’autres raies correspondant à la</w:t>
        <w:br/>
        <w:br/>
        <w:t xml:space="preserve">phase d’équilibre stable Al2Fe.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