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systématique et bioécologique  de la faune culicidienne et associée du lac des oiseaux.  Etude comparative de deux  molécules le Dimilin et le Bacillus thuringiensis israelensis  à l’égard de quelques espèces non ciblées (faune associée)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Serrage; Nassima/ Bendali Saoudi, Fatiha/ Université Badji Mokhtar/ </w:t>
            </w:r>
          </w:p>
        </w:tc>
      </w:tr>
      <w:tr>
        <w:trPr>
          <w:trHeight w:val="567"/>
        </w:trPr>
        <w:tc>
          <w:tcPr>
            <w:tcW w:type="dxa" w:w="3000"/>
          </w:tcPr>
          <w:p>
            <w:r>
              <w:t>Nombre de Pages</w:t>
            </w:r>
          </w:p>
        </w:tc>
        <w:tc>
          <w:tcPr>
            <w:tcW w:type="dxa" w:w="7000"/>
          </w:tcPr>
          <w:p>
            <w:r>
              <w:t>212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inventaire/ lac des oiseaux/ biodiversité/ </w:t>
            </w:r>
          </w:p>
        </w:tc>
      </w:tr>
    </w:tbl>
    <w:p>
      <w:pPr>
        <w:pStyle w:val="Heading3"/>
      </w:pPr>
      <w:r>
        <w:t>Résumé :</w:t>
      </w:r>
    </w:p>
    <w:p>
      <w:r>
        <w:t xml:space="preserve">Ce travail de recherche contribue à la réalisation et à la mise à jour d'un inventaire des macro - invertébrés aquatiques du lac des Oiseaux, site classé par Ramsar en 1983. L’étude a été menée dans cinq stations choisies sur la berge du lac durant une année (Mars 2018 - Février 2019). Lors de notre échantillonnage 3 685 individus ont été récoltés et ont été identifiés systématiquement, 34 espèces ont été déterminées, appartenant à 13 familles : Culicidae, Noteridae, Dytiscidae, Hydrophilidae, Notonectidae: pleidae, Corexidae,  Nepidae, Eylaidae, Pionidae, Hydryphantidae et Aeshnidae. La plus riche diversité a été enregistrée au Printemps. Pour une meilleure estimation de la qualité du site, une analyse des paramètres physico- chimique de l’eau des cinq stations a été réalisée.La lutte contre les Culicidae (Moustiques) est devenue d’un intérêt mondial, vu leur rôle vectoriel dans la transmission d’agents pathogènes et la nuisance. Dans ce cadre, la lutte chimique a été largement utilisée, autant dans la lutte contre les ravageurs de cultures. Le Dimilin est l’un de ces produits. Le phénomène de lessivage, due à la pluviométrie, les résidus de ces produits contaminent les eaux continentales.Dans le cadre de la lutte biologique, nous avons contribué à la détermination du potentiel de prédateurs de trois espèces  d’invertébrées (Asinops sardea, Corixa punctata et Notonecta glauca) et un poisson d’eau douce (Gambusia affinis). A l’égard des quatre stades larvaires de Culex modestus (Nuisant et vecteur principale d’arbovirus). Les résultats obtenus sont montré la voracité des espèces testées, contre cette espèce de moustiques, en particulier les premiers stades. Le potentiel de prédation de Gambusia  affinis et Anisops sardea  ont présenté, une différence très hautement significative, cela au cours du temps et du développement larvaire.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