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Réductions énantiosélectives de cétones par catalyse avec des complexes de lanthanides; de ruthénium et saccharomyces cerevisaiae.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Zeror, Saoussen/ Université Badji Mokhtar/ Zouiouece Aribi, Louisa/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énantiosélectives/ complexes de lanthanide/ </w:t>
            </w:r>
          </w:p>
        </w:tc>
      </w:tr>
    </w:tbl>
    <w:p>
      <w:pPr>
        <w:pStyle w:val="Heading3"/>
      </w:pPr>
      <w:r>
        <w:t>Résumé :</w:t>
      </w:r>
    </w:p>
    <w:p>
      <w:r>
        <w:t>Dans ce travail, nous avons cherché à mettre au point des réactions de réductions énantiosélectives de cétones prochirales par différents systèmes catalytiques (homogène,  hétérogène et microorganismeLa première partie de cette thèse décrit la préparation des complexes de lanthanides et leur évaluation pour la catalyse de la réaction de Meerwein-Ponndorf-Verley. Nous avons mis au point une méthode pour préparer les complexes.  Cette méthode nous a permis de synthétiser  une nouvelle famille de complexes chiraux et de les utiliser pour la catalyse de la réduction de l'acétophénone et de cétones aromatiques. Différents paramètres ont été étudiés (variation de température, ajout d'additif, solvant). Les énantiosélectivités obtenues varient selon le ligand utilisé. Le meilleur résultat est obtenu avec le tertiobutylate binaphtolate de samarium préparé in situ qui a permis d'obtenir des conversions totales et des excès énantiomériques voisins de 40% pour deux substrats, l'acétophénone et la 2-chloroacétophénone.Dans une seconde partie, nous avons utilisé le Ru (II) coordiné par un ligand hydrosoluble  le N-phényl-(L)-proline amide pour la réduction de cétones prochirales par transfert d'hydrure dans l'eau. La réduction de l'ortho méthoxyacetophenone a conduit à un excellent excès énantiomérique (&gt;99.5%) et le catalyseur a été recyclé 15 fois sans perte  d'activité, ni d'énantiosélectivité. La possibilité de réutiliser le catalyseur en changeant le substrat à chaque recyclage a été également étudiée.  Des réductions successives ont permis d'isoler sept alcools sans traces des produits obtenus au cours des précédentes réactionsLa troisième partie développe une réaction de réduction asymétrique par voie enzymatique. Saccharomyces cerevisiae utilisée en milieu aqueux conduit à de bons excès énantiomériques pour la réduction des ? et ?-cétoesters cycliques et non cycliques.  La comparaison avec le complexe de ruthénium montre une meilleure efficacité du biocatalyseur et une énantiocomplémentarité des deux systèmes catalytiques dans certains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