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a priori des indices de rètention des dèrivès benzèniques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Mokrani Djelloul; Karima/ Ali- Mokhnache, Salima/ Universite Badji-Mokhtar/ </w:t>
            </w:r>
          </w:p>
        </w:tc>
      </w:tr>
      <w:tr>
        <w:trPr>
          <w:trHeight w:val="567"/>
        </w:trPr>
        <w:tc>
          <w:tcPr>
            <w:tcW w:type="dxa" w:w="3000"/>
          </w:tcPr>
          <w:p>
            <w:r>
              <w:t>Nombre de Pages</w:t>
            </w:r>
          </w:p>
        </w:tc>
        <w:tc>
          <w:tcPr>
            <w:tcW w:type="dxa" w:w="7000"/>
          </w:tcPr>
          <w:p>
            <w:r>
              <w:t>59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Bioliogr . Résemé en francais,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chromatographie en phase gazeuse/ dérivés benzéniques/ indices de rétention/ corrélation avec des descripteurs moléculaires /  modèle statistique linéaire/ </w:t>
            </w:r>
          </w:p>
        </w:tc>
      </w:tr>
    </w:tbl>
    <w:p>
      <w:pPr>
        <w:pStyle w:val="Heading3"/>
      </w:pPr>
      <w:r>
        <w:t>Résumé :</w:t>
      </w:r>
    </w:p>
    <w:p>
      <w:r>
        <w:t>Les indices de rétention en chromatographie gazeuse de benzenes diversement substitués ont été corrrélés avec quatre descripteurs moléculaires liés aux caractéristiques structurales des molécules indices topologiques (XVO et NOCH3), descripteur géométrique (VOL).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