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par affinement de la raie R du Mg O  CR 3 determination de l'origine et de la nature des contraintes internes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Rabia; Mohammed Kamel / Université Claude Bernard Lyon 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 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 optique/ loxyde magnésium / MgO cr 3+/ excitation sélective / </w:t>
            </w:r>
          </w:p>
        </w:tc>
      </w:tr>
    </w:tbl>
    <w:p>
      <w:pPr>
        <w:pStyle w:val="Heading3"/>
      </w:pPr>
      <w:r>
        <w:t>Résumé :</w:t>
      </w:r>
    </w:p>
    <w:p>
      <w:r>
        <w:t>par suite de la présence de lacunes dues à l'introduction des ions chrome trivalents dans MgO, ces ions trouvent dans des sites de différente symétrie , l'excitation dans le niveau T2 de ion chrome en site cubique provoque aprés relaxation , l'emission 2E - 4A2 de la raie R inhomogéne de Mg O: cr3+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