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Influence de la texture cristallographique et de la specialité des joints de grains sur l'anisotropie de migration des joints entourant un grain d'orientation (110) 001 , au cours des premiers stades de la recristallisation secondaire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Rouag; Nadjet / Université de Paris Sud centre d'orsay / Strudel, Jean-Loup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Paris Sud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recristallisation/ cristallographie/ </w:t>
            </w:r>
          </w:p>
        </w:tc>
      </w:tr>
    </w:tbl>
    <w:p>
      <w:pPr>
        <w:pStyle w:val="Heading3"/>
      </w:pPr>
      <w:r>
        <w:t>Résumé :</w:t>
      </w:r>
    </w:p>
    <w:p>
      <w:r>
        <w:t>cette étude , sur la formation de la compréhension des mécanismes susceptibles d'intervenir en recristallisation secondaire la formation de la texture de GOSS dans les toles de type HI-B ( à haute perméabilité magnétique)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