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 loxazaborolidine comme catalyseur chiral lors de la réduction asymétrique de cétones et imines prochirales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Djerourou, Abdelhafid/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l'oxazaborolidine/ amine  comme/ Phényléthanol/ </w:t>
            </w:r>
          </w:p>
        </w:tc>
      </w:tr>
    </w:tbl>
    <w:p>
      <w:pPr>
        <w:pStyle w:val="Heading3"/>
      </w:pPr>
      <w:r>
        <w:t>Résumé :</w:t>
      </w:r>
    </w:p>
    <w:p>
      <w:r>
        <w:t>La réduction asymétrique catalytique d'acétophénone comme cétone prochirale et de Phényl-(l-phényléthylidéne)amine comme imine prochirale, par le diborane(B2H6) généré via le système(NaBH4) en présence de divers oxazaborolidines comme catalyseurs chiraux préparés in situ à partir d'une série de B-éthanolamines (L-Leucinol, Dvalinol, D-méthioninol), nous a permis d'obtenir l'alcool correspondant: le Phényléthanol, et l'amine correspondant: le Phényl-(l-phényléthyl)amine avec de bon excès énantiomérique (ee) et de bon rendement(Rdt).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