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formation des cmplexes de Cu (II) ,Cd (II)  et Hg(II) avec le xylènol orange et le 4-(2-pyridylazo) résorcinol en milieu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Zine; Boubaker/ University badji mokhtar/ Ghorab, Med. Faouzi/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complexes/ milieu aqueux/ formation des cmplexes/ </w:t>
            </w:r>
          </w:p>
        </w:tc>
      </w:tr>
    </w:tbl>
    <w:p>
      <w:pPr>
        <w:pStyle w:val="Heading3"/>
      </w:pPr>
      <w:r>
        <w:t>Résumé :</w:t>
      </w:r>
    </w:p>
    <w:p>
      <w:r>
        <w:t xml:space="preserve">L?accumulation des déchets industriels hautement toxiques, en particulier les métaux lourds,  est  devenue  pour  l?homme  et  son  environnement  un  problème  d?actualité  et  leur dosage est l?objet de nombreuses recherches.  Le dosage de ces métaux dans certains rejets industriels est limité dans le cas d?utilisation des méthodes classiques. Ces dernières ne permettent pas de déterminer les faibles teneurs de ces micropolluantes  avec  précision  et  sont  caractérisés  par  une  mauvaise  sensibilité  d'où  le recours aux méthodes physico-chimiques qui sont caractérisées par une grande sensibilité et une bonne précision ainsi qu?une bonne sélectivité.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