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L'étude des propriétés du faisceau laser ND/YAG à la fréquence du fondamental et de la seconde harmonique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Ouerdane; Abdellah / Université Des sciences et de la Technologie houari Boumediene/ Benbouzid, F.Z./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propriété/ laser ND/YAG / seconde harmonique / </w:t>
            </w:r>
          </w:p>
        </w:tc>
      </w:tr>
    </w:tbl>
    <w:p>
      <w:pPr>
        <w:pStyle w:val="Heading3"/>
      </w:pPr>
      <w:r>
        <w:t>Résumé :</w:t>
      </w:r>
    </w:p>
    <w:p>
      <w:r>
        <w:t>Cette étude nous a permis de générer la seconde harmonique pour un laser Nd/YAG pulsé fonctionnant en déclenché , à l'aide d'un cristal non linéaires de KDF  une étude expérimentale des propriétés spatiales et temporelledu faisceau ND/YAG en relaxé et q-switch a été faite à l'état du fondamental.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