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d'une nouvelle famille de derivés ami(imi)des benzxazolinoniques a activité antibactériènne potentielle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Yahia; Wassila/ Université Badji Mokhtar/ Liacha, M/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anti-bactériens/ benzoxazolinones/ </w:t>
            </w:r>
          </w:p>
        </w:tc>
      </w:tr>
    </w:tbl>
    <w:p>
      <w:pPr>
        <w:pStyle w:val="Heading3"/>
      </w:pPr>
      <w:r>
        <w:t>Résumé :</w:t>
      </w:r>
    </w:p>
    <w:p>
      <w:r>
        <w:t>Le travail présenté dans ce mémoire présente l'étude chimique d'un ensemble de dérivés benzoxazolinoniques substituée sur le noyau aromatique de l'hétérocycle benzoxazolinonique, par une chaîne de type alkylimides (maléimides) et lkylamides(benzamides).Un premier volet est consacré à la synthèse des N-maléimides dérivés de labenzoxazolinone de type imides qui se caractérisent par un profile de type anti-bactérien. Les relations structure-activités sont évoquées.</w:t>
        <w:br/>
        <w:br/>
        <w:t>Un second volet a pour objet la préparation de dérivés (benzoxazolinon-6-yl) benzamides. L'étude pharmacologique de ces dérivés a été orientée essentiellement vers la recherche de propriétés antibactérienne.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