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Synthèse d'oxazolidines a partir d'aminoalcools issus de l'ouverture d'epoxyde racemique par une amine chirale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Touhami; Aicha/ Boukhari, A/ Universite Badji-Mokhtar/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Bioliogr . Résemé en francais,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aminoalcool/ epoxystyrène/ aldéhyde aromatique subsstitués/ oxazolidines/ </w:t>
            </w:r>
          </w:p>
        </w:tc>
      </w:tr>
    </w:tbl>
    <w:p>
      <w:pPr>
        <w:pStyle w:val="Heading3"/>
      </w:pPr>
      <w:r>
        <w:t>Résumé :</w:t>
      </w:r>
    </w:p>
    <w:p>
      <w:r>
        <w:t>La condensation des aldéhydes aromatiques ortho, méta et para substitués sur l'aminoalcool ?-O substitués issus de l'ouverture d'époxystyrène par la (S) méthylbenzylamine aboutit à des 1,3-oxazolidines sous deux formes diastéréoisomères grâce à la création d'un autre centre asymétrique dû à l'induction asymétrique du carbone C2 du cycle.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