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des apports et des exhaures du lac fetzara et analyses des données sur deux cycles hydrologiques 2016/17 et 2017/18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Bouhali; Zahra/ Djabri, Larbi/ Université Badji Mokhtar/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lac fetzara/ hydrolyse/ modèle neuronal/ </w:t>
            </w:r>
          </w:p>
        </w:tc>
      </w:tr>
    </w:tbl>
    <w:p>
      <w:pPr>
        <w:pStyle w:val="Heading3"/>
      </w:pPr>
      <w:r>
        <w:t>Résumé :</w:t>
      </w:r>
    </w:p>
    <w:p>
      <w:r>
        <w:t>Divers horizons contribuent à l’alimentation du lac Fetzara en eau, mais avant se déverser dans la cuvette du lac, ces eaux subissent des modifications assez significatives de leurs qualités et quantité. L’alimentation du lac se fait par le biais des Oueds Zied, El Mellah et El Hout, ces eaux  avant leur aboutissement au lac traversent plusieurs terrains à géologie ariable,</w:t>
        <w:br/>
        <w:br/>
        <w:t>notamment les formations métamorphiques constituées particulièrement de gneiss et de schistes au Nord , les formations  édimentaires d’Ain Berda renfermant des calcaires et des argiles au sud,  à l’Ouest la plaine d’Annaba dont le lac fait partie est caractérisée par la présence de formations d’âge  Quaternaire et par les évaporites  .Ces formations entraînent des</w:t>
        <w:br/>
        <w:br/>
        <w:t>modifications appréciables de la qualité des eaux en effet les faciès chimiques déterminés diffèrent d’une zone à l’autre, ils sont soit chloruré sodique soit sulfaté calcique. Les changements observés sont engendrés par le phénomène de dilution qui semble s’effectuer, en effet les eaux alimentant le lac proviennent des hauteurs de l’Edough et d’Ain Berda situés</w:t>
        <w:br/>
        <w:br/>
        <w:t>respectivement à 800 m et 150 m d’altitude. Au cours de leurs écoulements les eaux s’enrichissent ou s’appauvrissent en éléments chimiques selon la nature lithologique des terrains traversés.Ce travail s’appuie sur la cartographie par l’outil télédétection avec l’interprétation des résultats de différents traitements multi spectrales des images satellitaires, en  éterminant les 3 classes (surface d’eau, Couvert végétal, et Sol nu). A l’aide de la reconnaissance du terrain, cela nous</w:t>
        <w:br/>
        <w:br/>
        <w:t xml:space="preserve">a aidé à effectuer la phase d’apprentissage par seuillage des nouvelles bandes (néo-canaux) calculées (indice de  égétation (NDVI) et indice de l’eau (NDWI)).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