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l’effet génotoxique des sous-produits de désinfection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Khallef; Messaouda/ Benouareth, Djamel Eddine/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eau potable/ bromoforme/ chloroforme/ </w:t>
            </w:r>
          </w:p>
        </w:tc>
      </w:tr>
    </w:tbl>
    <w:p>
      <w:pPr>
        <w:pStyle w:val="Heading3"/>
      </w:pPr>
      <w:r>
        <w:t>Résumé :</w:t>
      </w:r>
    </w:p>
    <w:p>
      <w:r>
        <w:t>Les effets génotoxiques du bromoforme et du chloroforme, deux sous-produits de la désinfection par chloration de l'eau potable, ont été examinés à différentes concentrations, à l'aide de test d'Ames comme essai biologique sur procaryotes. L’indice mitotique (IM), la phase de mitose, le test des comètes et le test RAPD sur les cellules des racines d'Allium cepa comme test biologique eucaryote. Au test d’Ames, les résultats soumis à une analyse statistique par le test U de Mann - Whitney à p &lt;0,05 en utilisant SPSS 15.0, montrent que le nombre de révertants augmente pour toutes les concentrations testées pour les deux produits (dose dépendant). Le chloroforme était mutagène à toutes les concentrations avec les deux souches montrant qu'il est un mutagène potentiel qui induit des mutations du cadre de lecture et des réversions. Le   omoforme a moins de potentiel que le chloroforme à toutes les concentrations, avec TA98 il cause des mutations de type frameshift mais il n'est pas mutagène avec TA 100 qu’à 10 ug/boite. Une augmentation significative des lésions de l'ADN a également été observée à toutes les concentrations des deux sous-produits de désinfection (bromoforme et chloroforme)</w:t>
        <w:br/>
        <w:br/>
        <w:t xml:space="preserve">examinés par le test des comètes. Le test RAPD montre que ces produits affecte l’ADN génomique par des dommages plus que par des mutations.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