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Compton scattering and photo-absorption studies of charge and spin density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Brahmia; Abdelbaki/ University of Warwick/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Compton effect/ Synchrotron radiation/ Photons/ Scattering/ </w:t>
            </w:r>
          </w:p>
        </w:tc>
      </w:tr>
    </w:tbl>
    <w:p>
      <w:pPr>
        <w:pStyle w:val="Heading3"/>
      </w:pPr>
      <w:r>
        <w:t>Résumé :</w:t>
      </w:r>
    </w:p>
    <w:p>
      <w:r>
        <w:t>Directional compton profiles of zinc and feo.j5-vio.75 have been measured with 60 kev and 412 kev gamma-rays, and the results compared with the self consistent korringe-kohn-rostoker coherent-potential approximation (kkr-cpa) for the iron nickel alloy. the other investigations reported all involve the use of the synchrotron radiation; the polarisation of synchrotron radiation has been established for the srs w9.4 line, for energies of the order of 50-65 kev, and good agreements with the theoretical calculations were obtained.</w:t>
        <w:br/>
        <w:br/>
        <w:t>the isotropic spin dependent compton profile of gadolinium and directional spin dependent compton profile of nickel have been measured for the first time using the inclined view method of extracting circular polarisation of synchrotron radiation. the existence of the spin dependent photo-absorption terms in the absorption coefficient have been established experimentally for iron and nickel, and compared with the first principles spin polarised</w:t>
        <w:br/>
        <w:br/>
        <w:t>band calculation.</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