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du decrochage dynamique et prediction de la portance d'un profil d'alle en mouvement de translation circulaire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Bouak; Fethi/ Université de Sherbrooke/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Canada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decrochage dynamique/ mouvement de translation/ portance/ </w:t>
            </w:r>
          </w:p>
        </w:tc>
      </w:tr>
    </w:tbl>
    <w:p>
      <w:pPr>
        <w:pStyle w:val="Heading3"/>
      </w:pPr>
      <w:r>
        <w:t>Résumé :</w:t>
      </w:r>
    </w:p>
    <w:p>
      <w:r>
        <w:t>Le décrochage dynamique représente l'éffet le plus complexe des écoulements instationnaires présents lorsqu'un profil de pale décrit un mouvement harmonique tangage pillonnement etc de grande amplitude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