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oxydes à structure pérovskite : croissance cristalline des phases du système KNbPO Frittage des céramiques supraconductrices à haute Te du système BiSrCaCuO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Guerioune; Mohamed/ Université Badji Mokhtar/ Doghmane, A./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influence/ caractéristiques structurales/ physics des oxydes/ </w:t>
            </w:r>
          </w:p>
        </w:tc>
      </w:tr>
    </w:tbl>
    <w:p>
      <w:pPr>
        <w:pStyle w:val="Heading3"/>
      </w:pPr>
      <w:r>
        <w:t>Résumé :</w:t>
      </w:r>
    </w:p>
    <w:p>
      <w:r>
        <w:t>La présente étude a permis de mettre en évidence l'influence des paramètres tels que température, temps de palier, vitesses de montée et de descente, teneur en fondant et composition chimique sur les caractéristiques structurales et physiques des oxydes à structure pérovskite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