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sylvicole et sanitaire de la subéraie d’Annaba en vue d’une gestion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Saadi; Hamza/ Habbachi, Wafa/ Université Badji Mokhtar/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chêne liège/ dépérissement/ reprise végétative/ </w:t>
            </w:r>
          </w:p>
        </w:tc>
      </w:tr>
    </w:tbl>
    <w:p>
      <w:pPr>
        <w:pStyle w:val="Heading3"/>
      </w:pPr>
      <w:r>
        <w:t>Résumé :</w:t>
      </w:r>
    </w:p>
    <w:p>
      <w:r>
        <w:t>La présente étude est devisée en deux axes de travail, le premier s’inscrit dans l’évaluation de la situation sanitaire des subéraies de l’Edough à Annaba. Pour cette raison, nous avons mis en place un réseau de surveillance continu (2016 –2018) où nous avons effectué des relevés sanitaires, sylvicoles, dendrométriques, floristiques et d'exploitation afin de  aractériser le peuplement de chêne-liège. Le second vise à élucider les conséquences des incendies et les modalités de reprise végétative des peuplements de chêne liège localisés dans la forêt domaniale de Seraïdi, afin de déterminer quelles variables avaient une influence significative sur la bonne ou la mauvaise régénération de chêne liège après l'incendie.</w:t>
        <w:br/>
        <w:br/>
        <w:t xml:space="preserve">            Pour les sites non incendiés, les relevés révèlent une coloration normale des feuilles accompagnée d’une légère défoliation au niveau des deux sites d’études. Le calcul de l’indice de dépérissement (ID) indique que le site de Berouaga (ID=1,42 en moyen) et même de Bouzizi (ID=1,46 en moyen) sont sains. Les arbres ont en moyenne 7 m, de hauteur, 140 cm de circonférence, 170 cm de hauteur d’écorçage. La flore lichénologique est omniprésente au niveau des deux sites d’études. Un pourcentage faible d’arbres au niveau des placettes d’études ont présenté des déformations ou des blessures alors qu’environ 40% des arbres échantillons présentes des crevasses et aussi des trous d’insectes xylophages. Le chêne liège dans les placettes d’études est accompagné par un sous-bois riche en plantes composé de plusieurs espèces appartenant à différentes familles nous citons: Erica arborea, Rubus ulmifolius Schott, Pteridium aquilinum, Cytisus triflorus, Cistus salviifolius, Asphodelus microcarpus, Daphne gnidium et Arbutus unedo.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