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 des traitements thermiques sur les propriétés élastiques des matériaux à mémoire de forme par des méthodes ultrasoniques etmodélisation de la signature acoustique V(z)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Larbaoui; Chaima/ Boumaiza, Youcef/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à mémoire de forme CuZnAl/ module de young/ signature acoustic V(z)/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caractériser les propriétés élastiques de l'alliage à mémoire de forme CuZnAl dans ses trois états – austénitique, mixte et martensitique – à l'aide d'une méthode non destructive. La base de cette méthode est la micro-échographie acoustique. Elle permet de mesurer les vitesses de propagation des ondes acoustiques longitudinales,</w:t>
        <w:br/>
        <w:br/>
        <w:t>transversales et de Rayleigh, à partir desquelles peuvent être calculées les constantes élastiques du matériau (module de cisaillement : G et module d'Young: E). Ainsi, les résultats de mesures obtenus permettent de comparer les vitesses de Rayleigh résultantes qui ont été modélisées et observées expérimentalement dans les différentes phases avec la délisation</w:t>
        <w:br/>
        <w:br/>
        <w:t xml:space="preserve">de la signature acoustique  et du coefficient de réflexion.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