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caractérisation des oxydes lamellaires mixtes LiFe1-xCoxO2 : diffraction neutronique et chaleur spécifique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Douakha; Nouredine/ Université Badji Mokhtar/ Dohgmane,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oxydes lamellaires/ batteries lithium-ion/ </w:t>
            </w:r>
          </w:p>
        </w:tc>
      </w:tr>
    </w:tbl>
    <w:p>
      <w:pPr>
        <w:pStyle w:val="Heading3"/>
      </w:pPr>
      <w:r>
        <w:t>Résumé :</w:t>
      </w:r>
    </w:p>
    <w:p>
      <w:r>
        <w:t>Les oxydes mixtes à métaux de transition LiFe1-xCoxO2 (0&lt;_x&lt;_1) ont été préparés à 260 C° par échange ionique à partir d'un précurseur au sodium NaFe1-xCoxO2 dans une atmosphère d'argon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