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 l'accumulation spatio temporelle du mercure dans l'eau  le sol les sédiments et les mousses  région de azzaba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Saidi; Hacina/ Semadi, A/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bioaccumulation/ pollution/ mercure/ méthode colorimétrique / </w:t>
            </w:r>
          </w:p>
        </w:tc>
      </w:tr>
    </w:tbl>
    <w:p>
      <w:pPr>
        <w:pStyle w:val="Heading3"/>
      </w:pPr>
      <w:r>
        <w:t>Résumé :</w:t>
      </w:r>
    </w:p>
    <w:p>
      <w:r>
        <w:t>Notre travail a porté sur l'évaluation spatio-temporelle de la teneur en mercure dans l'eau, le sol, les sédiments et les mousses (utilisés comme bioaccumulateurs ou bioindicateurs de la pollution mercurielle ) dans la région de azzaba et également le long du transect la présence du mercure dans l'environnement a pour origines anthropogéniques, essentiellement les rejets industriels et endogènes, par la présence des gisements de mercure. les prélèvements de nos échantillons ont eu lieu au niveau de vingt-sept sites dont le plus éloigné se trouve à 71 km de la source de pollution. les résultats d'analyse par l'utilisation de la méthode colorimétrique à la d.n.t.c ont montré que l'accumulation du mercure diffère selon les quatre paramètres étudiés et que les mousses jouent un rôle très important comme bioaccumulateurs de la pollution mercurielle dans la région étudiée . la distance, l'exposition, les conditions climatiques et topographiques y sont pour beaucoup dans la mesure du taux ou de la concentration du mercure et ses différentes variations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