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Microcaracterisation des proprietes elastiques de l'acier massif et des couches minces de l'ain /SI par la stgnature acoustique v(z)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Deboub; Lakhdar / Université Badji Mokhtar/ Doghmane, 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propriété élastique/ microcaracterisation / </w:t>
            </w:r>
          </w:p>
        </w:tc>
      </w:tr>
    </w:tbl>
    <w:p>
      <w:pPr>
        <w:pStyle w:val="Heading3"/>
      </w:pPr>
      <w:r>
        <w:t>Résumé :</w:t>
      </w:r>
    </w:p>
    <w:p>
      <w:r>
        <w:t>De nouvelles techniques de visualisation microscopiques basées sur des principes physiques différents que ceux utilisés par des instruments bien connus tels que les microscopes optique electronique, se sont actuellement developpés; on peut citer à propos les méthodes d'analyse acoustiques: fréquences L'idée de produire de comparables à par propagation des ondes l'ordre du gigahertz, celle de l'optique, avec date de des acoustiques des plus et ce ondes aux performances de 40 Cependant, l'utilisation des ultrasons en microscopie remonte années 1970, à la suite de trés importants ans. aux travaux de Quate de l'université de Stanford [ J. Depuis, plusieurs prototypes de microscope acoustique, selon leurs modes de foctionnement, ont été mis au point dans différents laboratoires de recherche. L'appareil gui semble aujourd'hui prendre une place grandissante dans le contrôle non-destructif est le microscope acoustique à balayage en mode de reflexion (Scanning Acoustic Microscope: SAM ) le capteur piézoélectrique en émission et réception. utilisant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