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Effets du méthyle parathion et du cadmium sur un poisson téléostéen d'eau douce gambusia affinis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Rouachdia; Roguia/ Université Badji Mokhtar/ Bensouilah, M/ </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gsh/ gst/ acétylcholinestérase/ catalase/ gambusia/ affiis/ </w:t>
            </w:r>
          </w:p>
        </w:tc>
      </w:tr>
    </w:tbl>
    <w:p>
      <w:pPr>
        <w:pStyle w:val="Heading3"/>
      </w:pPr>
      <w:r>
        <w:t>Résumé :</w:t>
      </w:r>
    </w:p>
    <w:p>
      <w:r>
        <w:t>Notre étude expérimentale, s'est intéressée au carbofuran, un insecticide de la famille de carbamates, fréquements rencontré dans les écosystémes aquatiques situés dans les zones agricoles, et vise éàvaluer l'impact de ce pesticide sur des poissons d'eau douce Gambusia affinis.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