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pollution plombique sur la contamination de la microflore fongique au niveau des feuilles d'agrumes variété valentia late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Trad; Khemissa/ Semadi, A/ Université Badji Mokhtar/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pollution/ contamination/ microflore/ </w:t>
            </w:r>
          </w:p>
        </w:tc>
      </w:tr>
    </w:tbl>
    <w:p>
      <w:pPr>
        <w:pStyle w:val="Heading3"/>
      </w:pPr>
      <w:r>
        <w:t>Résumé :</w:t>
      </w:r>
    </w:p>
    <w:p>
      <w:r>
        <w:t xml:space="preserve">Notre étude a porté sur l'influence du pb d'origine automobile sur la contamination de la tuicroflore foliaire au niveau d'un verger d'agrumes situé sur la r.n 16  annaba el hadjarnous avons renurqué que la teneur en plomb dans les échantillons prelevés varie selon la distance par rapport à la route et la dispersion de polluant l'exposition des échantillons au niveau de l'arbre et les conditions climatiques saisonnières. </w:t>
        <w:br/>
        <w:br/>
        <w:t>pour uue première étude, il semble que le pb n'a pas tellement d'effet sur la microflore foliaire in vivo, par contre in vitro le plomb agit sue la croissance de certaines espèces fougiques telles que alternaria raphani , penicillium pseudotrium et trichoderme pseudokoningii en fonction bien sûr des concentrations. nous avons également ris en évidence une relation entre les sucres totaux de la surface foliaire et la ruicroflore isolée.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